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57CB6" w14:textId="77777777" w:rsidR="004942E4" w:rsidRDefault="00000000" w:rsidP="006C3952">
      <w:pPr>
        <w:pStyle w:val="BodyText"/>
        <w:spacing w:before="64"/>
        <w:ind w:left="0"/>
        <w:jc w:val="center"/>
      </w:pPr>
      <w:bookmarkStart w:id="0" w:name="1_–_European_Commission_–_RO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RO</w:t>
      </w:r>
    </w:p>
    <w:p w14:paraId="2ADE394C" w14:textId="77777777" w:rsidR="004942E4" w:rsidRDefault="004942E4" w:rsidP="006C3952">
      <w:pPr>
        <w:pStyle w:val="BodyText"/>
        <w:spacing w:before="71"/>
        <w:ind w:left="0"/>
      </w:pPr>
    </w:p>
    <w:p w14:paraId="2A48D0A8" w14:textId="77777777" w:rsidR="004942E4" w:rsidRDefault="00000000" w:rsidP="006C395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67991C6" w14:textId="77777777" w:rsidR="004942E4" w:rsidRDefault="004942E4" w:rsidP="006C3952">
      <w:pPr>
        <w:pStyle w:val="BodyText"/>
        <w:spacing w:before="80"/>
        <w:ind w:left="0"/>
        <w:rPr>
          <w:i/>
        </w:rPr>
      </w:pPr>
    </w:p>
    <w:p w14:paraId="40DA437A" w14:textId="77777777" w:rsidR="004942E4" w:rsidRDefault="00000000" w:rsidP="006C3952">
      <w:pPr>
        <w:pStyle w:val="BodyText"/>
      </w:pPr>
      <w:r>
        <w:t>Manuscris</w:t>
      </w:r>
      <w:r>
        <w:rPr>
          <w:spacing w:val="-5"/>
        </w:rPr>
        <w:t xml:space="preserve"> </w:t>
      </w:r>
      <w:r>
        <w:t>finalizat</w:t>
      </w:r>
      <w:r>
        <w:rPr>
          <w:spacing w:val="-4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[luna]</w:t>
      </w:r>
      <w:r>
        <w:rPr>
          <w:spacing w:val="-4"/>
        </w:rPr>
        <w:t xml:space="preserve"> </w:t>
      </w:r>
      <w:r>
        <w:rPr>
          <w:spacing w:val="-2"/>
        </w:rPr>
        <w:t>[anul].</w:t>
      </w:r>
    </w:p>
    <w:p w14:paraId="3D4DF15E" w14:textId="2D3314F7" w:rsidR="00846061" w:rsidRPr="00846061" w:rsidRDefault="00000000" w:rsidP="006C3952">
      <w:pPr>
        <w:pStyle w:val="BodyText"/>
        <w:spacing w:line="540" w:lineRule="atLeast"/>
      </w:pPr>
      <w:r>
        <w:t>Ediție</w:t>
      </w:r>
      <w:r>
        <w:rPr>
          <w:spacing w:val="-6"/>
        </w:rPr>
        <w:t xml:space="preserve"> </w:t>
      </w:r>
      <w:r>
        <w:t>revizuită/Ediție</w:t>
      </w:r>
      <w:r>
        <w:rPr>
          <w:spacing w:val="-6"/>
        </w:rPr>
        <w:t xml:space="preserve"> </w:t>
      </w:r>
      <w:r>
        <w:t>corectată/Ediția</w:t>
      </w:r>
      <w:r>
        <w:rPr>
          <w:spacing w:val="-6"/>
        </w:rPr>
        <w:t xml:space="preserve"> </w:t>
      </w:r>
      <w:r>
        <w:t>întâi/Ediția</w:t>
      </w:r>
      <w:r w:rsidR="006C3952">
        <w:rPr>
          <w:spacing w:val="-6"/>
        </w:rPr>
        <w:t xml:space="preserve"> a </w:t>
      </w:r>
      <w:r>
        <w:t>doua/Ediția</w:t>
      </w:r>
      <w:r>
        <w:rPr>
          <w:spacing w:val="-6"/>
        </w:rPr>
        <w:t xml:space="preserve"> </w:t>
      </w:r>
      <w:r>
        <w:t>[</w:t>
      </w:r>
      <w:r>
        <w:rPr>
          <w:i/>
        </w:rPr>
        <w:t>numeral</w:t>
      </w:r>
      <w:r>
        <w:rPr>
          <w:i/>
          <w:spacing w:val="-6"/>
        </w:rPr>
        <w:t xml:space="preserve"> </w:t>
      </w:r>
      <w:r>
        <w:rPr>
          <w:i/>
        </w:rPr>
        <w:t>ordinal</w:t>
      </w:r>
      <w:r>
        <w:t>]</w:t>
      </w:r>
    </w:p>
    <w:p w14:paraId="105B8467" w14:textId="70D56864" w:rsidR="004942E4" w:rsidRDefault="006C3952" w:rsidP="006C3952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E259EAA" w14:textId="058FFACF" w:rsidR="00846061" w:rsidRDefault="00000000" w:rsidP="006C3952">
      <w:pPr>
        <w:pStyle w:val="BodyText"/>
        <w:spacing w:before="104" w:line="564" w:lineRule="auto"/>
      </w:pPr>
      <w:r>
        <w:t>Acest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nu</w:t>
      </w:r>
      <w:r>
        <w:rPr>
          <w:spacing w:val="-4"/>
        </w:rPr>
        <w:t xml:space="preserve"> </w:t>
      </w:r>
      <w:r>
        <w:t>poate</w:t>
      </w:r>
      <w:r>
        <w:rPr>
          <w:spacing w:val="-4"/>
        </w:rPr>
        <w:t xml:space="preserve"> </w:t>
      </w:r>
      <w:r>
        <w:t>fi</w:t>
      </w:r>
      <w:r>
        <w:rPr>
          <w:spacing w:val="-4"/>
        </w:rPr>
        <w:t xml:space="preserve"> </w:t>
      </w:r>
      <w:r>
        <w:t>considerat</w:t>
      </w:r>
      <w:r>
        <w:rPr>
          <w:spacing w:val="-4"/>
        </w:rPr>
        <w:t xml:space="preserve"> </w:t>
      </w:r>
      <w:r>
        <w:t>drept</w:t>
      </w:r>
      <w:r w:rsidR="006C3952">
        <w:rPr>
          <w:spacing w:val="-4"/>
        </w:rPr>
        <w:t xml:space="preserve"> o </w:t>
      </w:r>
      <w:r>
        <w:t>luare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poziție</w:t>
      </w:r>
      <w:r>
        <w:rPr>
          <w:spacing w:val="-4"/>
        </w:rPr>
        <w:t xml:space="preserve"> </w:t>
      </w:r>
      <w:r>
        <w:t>oficială</w:t>
      </w:r>
      <w:r w:rsidR="006C3952">
        <w:rPr>
          <w:spacing w:val="-4"/>
        </w:rPr>
        <w:t xml:space="preserve"> a </w:t>
      </w:r>
      <w:r>
        <w:t>Comisiei</w:t>
      </w:r>
      <w:r>
        <w:rPr>
          <w:spacing w:val="-4"/>
        </w:rPr>
        <w:t xml:space="preserve"> </w:t>
      </w:r>
      <w:r>
        <w:t>Europene</w:t>
      </w:r>
      <w:r w:rsidR="00846061">
        <w:t>.</w:t>
      </w:r>
    </w:p>
    <w:p w14:paraId="21F3182B" w14:textId="3444D10D" w:rsidR="004942E4" w:rsidRDefault="00846061" w:rsidP="006C3952">
      <w:pPr>
        <w:pStyle w:val="BodyText"/>
        <w:spacing w:before="104" w:line="564" w:lineRule="auto"/>
      </w:pPr>
      <w:r>
        <w:t>Luxemburg</w:t>
      </w:r>
      <w:r w:rsidR="00000000">
        <w:t>: Oficiul pentru Publicații al Uniunii Europene, [anul]</w:t>
      </w:r>
    </w:p>
    <w:p w14:paraId="6C840AE3" w14:textId="071010A8" w:rsidR="00846061" w:rsidRPr="00846061" w:rsidRDefault="00000000" w:rsidP="006C3952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[Uniunea</w:t>
      </w:r>
      <w:r>
        <w:rPr>
          <w:spacing w:val="-6"/>
        </w:rPr>
        <w:t xml:space="preserve"> </w:t>
      </w:r>
      <w:r>
        <w:t>Europeană/Comunitatea</w:t>
      </w:r>
      <w:r>
        <w:rPr>
          <w:spacing w:val="-6"/>
        </w:rPr>
        <w:t xml:space="preserve"> </w:t>
      </w:r>
      <w:r>
        <w:t>Europeană</w:t>
      </w:r>
      <w:r w:rsidR="006C3952">
        <w:rPr>
          <w:spacing w:val="-6"/>
        </w:rPr>
        <w:t xml:space="preserve"> a </w:t>
      </w:r>
      <w:r>
        <w:t>Energiei</w:t>
      </w:r>
      <w:r>
        <w:rPr>
          <w:spacing w:val="-6"/>
        </w:rPr>
        <w:t xml:space="preserve"> </w:t>
      </w:r>
      <w:r>
        <w:t>Atomice],</w:t>
      </w:r>
      <w:r>
        <w:rPr>
          <w:spacing w:val="-6"/>
        </w:rPr>
        <w:t xml:space="preserve"> </w:t>
      </w:r>
      <w:r>
        <w:t>[anul]</w:t>
      </w:r>
    </w:p>
    <w:p w14:paraId="05F2FEAB" w14:textId="72316888" w:rsidR="004942E4" w:rsidRDefault="00846061" w:rsidP="006C3952">
      <w:pPr>
        <w:pStyle w:val="BodyText"/>
        <w:spacing w:line="348" w:lineRule="auto"/>
      </w:pPr>
      <w:r w:rsidRPr="00846061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6209FD1" w14:textId="6C47B726" w:rsidR="004942E4" w:rsidRDefault="00000000" w:rsidP="006C3952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[Uniunea</w:t>
      </w:r>
      <w:r>
        <w:rPr>
          <w:spacing w:val="-4"/>
        </w:rPr>
        <w:t xml:space="preserve"> </w:t>
      </w:r>
      <w:r>
        <w:t>Europeană/Comunitatea</w:t>
      </w:r>
      <w:r>
        <w:rPr>
          <w:spacing w:val="-4"/>
        </w:rPr>
        <w:t xml:space="preserve"> </w:t>
      </w:r>
      <w:r>
        <w:t>Europeană</w:t>
      </w:r>
      <w:r w:rsidR="006C3952">
        <w:rPr>
          <w:spacing w:val="-4"/>
        </w:rPr>
        <w:t xml:space="preserve"> a </w:t>
      </w:r>
      <w:r>
        <w:t>Energiei</w:t>
      </w:r>
      <w:r>
        <w:rPr>
          <w:spacing w:val="-4"/>
        </w:rPr>
        <w:t xml:space="preserve"> </w:t>
      </w:r>
      <w:r>
        <w:t>Atomice],</w:t>
      </w:r>
      <w:r>
        <w:rPr>
          <w:spacing w:val="-4"/>
        </w:rPr>
        <w:t xml:space="preserve"> </w:t>
      </w:r>
      <w:r>
        <w:t>[anul].</w:t>
      </w:r>
      <w:r>
        <w:rPr>
          <w:spacing w:val="-4"/>
        </w:rPr>
        <w:t xml:space="preserve"> </w:t>
      </w:r>
      <w:r>
        <w:t>Unele</w:t>
      </w:r>
      <w:r>
        <w:rPr>
          <w:spacing w:val="-4"/>
        </w:rPr>
        <w:t xml:space="preserve"> </w:t>
      </w:r>
      <w:r>
        <w:t>conținuturi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fost</w:t>
      </w:r>
      <w:r>
        <w:rPr>
          <w:spacing w:val="-4"/>
        </w:rPr>
        <w:t xml:space="preserve"> </w:t>
      </w:r>
      <w:r>
        <w:t>create</w:t>
      </w:r>
      <w:r>
        <w:rPr>
          <w:spacing w:val="-4"/>
        </w:rPr>
        <w:t xml:space="preserve"> </w:t>
      </w:r>
      <w:r>
        <w:t>utilizând [numele instrumentului de IA].</w:t>
      </w:r>
    </w:p>
    <w:p w14:paraId="3C9FE985" w14:textId="22BA9582" w:rsidR="004942E4" w:rsidRDefault="006C3952" w:rsidP="006C3952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5DCE6FED" w14:textId="77777777" w:rsidR="004942E4" w:rsidRDefault="00000000" w:rsidP="006C3952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5F4761A4" wp14:editId="5079AA91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EF10D2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53A8C46B" w14:textId="6BAF9B21" w:rsidR="004942E4" w:rsidRDefault="00000000" w:rsidP="006C3952">
      <w:pPr>
        <w:pStyle w:val="BodyText"/>
        <w:spacing w:before="51" w:line="244" w:lineRule="auto"/>
      </w:pPr>
      <w:r>
        <w:t>Politica de reutilizare</w:t>
      </w:r>
      <w:r w:rsidR="006C3952">
        <w:t xml:space="preserve"> a </w:t>
      </w:r>
      <w:r>
        <w:t>Comisiei este pusă în aplicare prin Decizia 2011/833/UE</w:t>
      </w:r>
      <w:r w:rsidR="006C3952">
        <w:t xml:space="preserve"> a </w:t>
      </w:r>
      <w:r>
        <w:t>Comisiei din</w:t>
      </w:r>
      <w:r w:rsidR="006C3952">
        <w:t xml:space="preserve"> 12 </w:t>
      </w:r>
      <w:r>
        <w:t>decembrie</w:t>
      </w:r>
      <w:r>
        <w:rPr>
          <w:spacing w:val="-6"/>
        </w:rPr>
        <w:t xml:space="preserve"> </w:t>
      </w:r>
      <w:r>
        <w:t>2011</w:t>
      </w:r>
      <w:r>
        <w:rPr>
          <w:spacing w:val="-6"/>
        </w:rPr>
        <w:t xml:space="preserve"> </w:t>
      </w:r>
      <w:r>
        <w:t>privind</w:t>
      </w:r>
      <w:r>
        <w:rPr>
          <w:spacing w:val="-6"/>
        </w:rPr>
        <w:t xml:space="preserve"> </w:t>
      </w:r>
      <w:r>
        <w:t>reutilizarea</w:t>
      </w:r>
      <w:r>
        <w:rPr>
          <w:spacing w:val="-6"/>
        </w:rPr>
        <w:t xml:space="preserve"> </w:t>
      </w:r>
      <w:r>
        <w:t>documentelor</w:t>
      </w:r>
      <w:r>
        <w:rPr>
          <w:spacing w:val="-6"/>
        </w:rPr>
        <w:t xml:space="preserve"> </w:t>
      </w:r>
      <w:r>
        <w:t>Comisiei</w:t>
      </w:r>
      <w:r>
        <w:rPr>
          <w:spacing w:val="-6"/>
        </w:rPr>
        <w:t xml:space="preserve"> </w:t>
      </w:r>
      <w:r>
        <w:t>(JO</w:t>
      </w:r>
      <w:r>
        <w:rPr>
          <w:spacing w:val="-6"/>
        </w:rPr>
        <w:t xml:space="preserve"> </w:t>
      </w:r>
      <w:r w:rsidR="006C3952">
        <w:t>L 330</w:t>
      </w:r>
      <w:r>
        <w:t>,</w:t>
      </w:r>
      <w:r>
        <w:rPr>
          <w:spacing w:val="-6"/>
        </w:rPr>
        <w:t xml:space="preserve"> </w:t>
      </w:r>
      <w:r>
        <w:t>14.12.2011,</w:t>
      </w:r>
      <w:r w:rsidR="006C3952">
        <w:rPr>
          <w:spacing w:val="-6"/>
        </w:rPr>
        <w:t xml:space="preserve"> p. </w:t>
      </w:r>
      <w:r>
        <w:t>39,</w:t>
      </w:r>
      <w:r>
        <w:rPr>
          <w:spacing w:val="-6"/>
        </w:rPr>
        <w:t xml:space="preserve"> </w:t>
      </w:r>
      <w:r w:rsidR="006C395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0C84173D" w14:textId="48EDCFEB" w:rsidR="004942E4" w:rsidRDefault="00000000" w:rsidP="006C3952">
      <w:pPr>
        <w:pStyle w:val="BodyText"/>
        <w:spacing w:before="98" w:line="244" w:lineRule="auto"/>
      </w:pPr>
      <w:r>
        <w:t>Cu excepția cazului în care se prevede altfel, reutilizarea prezentului document este autorizată în temeiul licenței Creative Commons Attribution</w:t>
      </w:r>
      <w:r w:rsidR="006C3952">
        <w:t> 4.0</w:t>
      </w:r>
      <w:r>
        <w:t xml:space="preserve"> International (</w:t>
      </w:r>
      <w:r w:rsidR="006C3952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</w:t>
        </w:r>
      </w:hyperlink>
      <w:r>
        <w:t>). Aceasta înseamnă</w:t>
      </w:r>
      <w:r>
        <w:rPr>
          <w:spacing w:val="-3"/>
        </w:rPr>
        <w:t xml:space="preserve"> </w:t>
      </w:r>
      <w:r>
        <w:t>că</w:t>
      </w:r>
      <w:r>
        <w:rPr>
          <w:spacing w:val="-3"/>
        </w:rPr>
        <w:t xml:space="preserve"> </w:t>
      </w:r>
      <w:r>
        <w:t>reutilizarea</w:t>
      </w:r>
      <w:r>
        <w:rPr>
          <w:spacing w:val="-3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autorizată,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condiția</w:t>
      </w:r>
      <w:r>
        <w:rPr>
          <w:spacing w:val="-3"/>
        </w:rPr>
        <w:t xml:space="preserve"> </w:t>
      </w:r>
      <w:r>
        <w:t>ca</w:t>
      </w:r>
      <w:r>
        <w:rPr>
          <w:spacing w:val="-3"/>
        </w:rPr>
        <w:t xml:space="preserve"> </w:t>
      </w:r>
      <w:r>
        <w:t>sursa</w:t>
      </w:r>
      <w:r>
        <w:rPr>
          <w:spacing w:val="-3"/>
        </w:rPr>
        <w:t xml:space="preserve"> </w:t>
      </w:r>
      <w:r>
        <w:t>documentului</w:t>
      </w:r>
      <w:r>
        <w:rPr>
          <w:spacing w:val="-3"/>
        </w:rPr>
        <w:t xml:space="preserve"> </w:t>
      </w:r>
      <w:r>
        <w:t>să</w:t>
      </w:r>
      <w:r>
        <w:rPr>
          <w:spacing w:val="-3"/>
        </w:rPr>
        <w:t xml:space="preserve"> </w:t>
      </w:r>
      <w:r>
        <w:t>fie</w:t>
      </w:r>
      <w:r>
        <w:rPr>
          <w:spacing w:val="-3"/>
        </w:rPr>
        <w:t xml:space="preserve"> </w:t>
      </w:r>
      <w:r>
        <w:t>recunoscută</w:t>
      </w:r>
      <w:r>
        <w:rPr>
          <w:spacing w:val="-3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să</w:t>
      </w:r>
      <w:r>
        <w:rPr>
          <w:spacing w:val="-3"/>
        </w:rPr>
        <w:t xml:space="preserve"> </w:t>
      </w:r>
      <w:r>
        <w:t>fie</w:t>
      </w:r>
      <w:r>
        <w:rPr>
          <w:spacing w:val="-3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 xml:space="preserve">orice </w:t>
      </w:r>
      <w:r>
        <w:rPr>
          <w:spacing w:val="-2"/>
        </w:rPr>
        <w:t>modificări.</w:t>
      </w:r>
    </w:p>
    <w:p w14:paraId="427C34E2" w14:textId="77777777" w:rsidR="004942E4" w:rsidRDefault="004942E4" w:rsidP="006C3952">
      <w:pPr>
        <w:pStyle w:val="BodyText"/>
        <w:spacing w:before="74"/>
        <w:ind w:left="0"/>
      </w:pPr>
    </w:p>
    <w:p w14:paraId="3205A502" w14:textId="77777777" w:rsidR="004942E4" w:rsidRDefault="00000000" w:rsidP="006C3952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D980E94" w14:textId="6DC4355C" w:rsidR="004942E4" w:rsidRDefault="00000000" w:rsidP="006C3952">
      <w:pPr>
        <w:pStyle w:val="BodyText"/>
        <w:spacing w:before="104" w:line="244" w:lineRule="auto"/>
      </w:pPr>
      <w:r>
        <w:t>Pentru orice utilizare sau reproducere</w:t>
      </w:r>
      <w:r w:rsidR="006C3952">
        <w:t xml:space="preserve"> a </w:t>
      </w:r>
      <w:r>
        <w:t>unor elemente care nu sunt deținute de Uniunea Europeană, este posibil să fie</w:t>
      </w:r>
      <w:r>
        <w:rPr>
          <w:spacing w:val="-4"/>
        </w:rPr>
        <w:t xml:space="preserve"> </w:t>
      </w:r>
      <w:r>
        <w:t>necesară</w:t>
      </w:r>
      <w:r>
        <w:rPr>
          <w:spacing w:val="-4"/>
        </w:rPr>
        <w:t xml:space="preserve"> </w:t>
      </w:r>
      <w:r>
        <w:t>solicitarea</w:t>
      </w:r>
      <w:r>
        <w:rPr>
          <w:spacing w:val="-4"/>
        </w:rPr>
        <w:t xml:space="preserve"> </w:t>
      </w:r>
      <w:r>
        <w:t>permisiunii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titularii</w:t>
      </w:r>
      <w:r>
        <w:rPr>
          <w:spacing w:val="-4"/>
        </w:rPr>
        <w:t xml:space="preserve"> </w:t>
      </w:r>
      <w:r>
        <w:t>drepturilor</w:t>
      </w:r>
      <w:r>
        <w:rPr>
          <w:spacing w:val="-4"/>
        </w:rPr>
        <w:t xml:space="preserve"> </w:t>
      </w:r>
      <w:r>
        <w:t>respective.</w:t>
      </w:r>
      <w:r>
        <w:rPr>
          <w:spacing w:val="-2"/>
        </w:rPr>
        <w:t xml:space="preserve"> </w:t>
      </w:r>
      <w:r>
        <w:t>Uniunea</w:t>
      </w:r>
      <w:r>
        <w:rPr>
          <w:spacing w:val="-4"/>
        </w:rPr>
        <w:t xml:space="preserve"> </w:t>
      </w:r>
      <w:r>
        <w:t>Europeană</w:t>
      </w:r>
      <w:r>
        <w:rPr>
          <w:spacing w:val="-4"/>
        </w:rPr>
        <w:t xml:space="preserve"> </w:t>
      </w:r>
      <w:r>
        <w:t>nu</w:t>
      </w:r>
      <w:r>
        <w:rPr>
          <w:spacing w:val="-4"/>
        </w:rPr>
        <w:t xml:space="preserve"> </w:t>
      </w:r>
      <w:r>
        <w:t>deține</w:t>
      </w:r>
      <w:r>
        <w:rPr>
          <w:spacing w:val="-4"/>
        </w:rPr>
        <w:t xml:space="preserve"> </w:t>
      </w:r>
      <w:r>
        <w:t>drepturile de autor asupra următoarelor elemente:</w:t>
      </w:r>
    </w:p>
    <w:p w14:paraId="6D73F6DD" w14:textId="77777777" w:rsidR="004942E4" w:rsidRDefault="00000000" w:rsidP="006C395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 xml:space="preserve"> </w:t>
      </w:r>
      <w:r>
        <w:rPr>
          <w:sz w:val="20"/>
        </w:rPr>
        <w:t>[elementul</w:t>
      </w:r>
      <w:r>
        <w:rPr>
          <w:spacing w:val="-7"/>
          <w:sz w:val="20"/>
        </w:rPr>
        <w:t xml:space="preserve"> </w:t>
      </w:r>
      <w:r>
        <w:rPr>
          <w:sz w:val="20"/>
        </w:rPr>
        <w:t>vizat],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4D277D8" w14:textId="77777777" w:rsidR="004942E4" w:rsidRDefault="00000000" w:rsidP="006C395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[elementul</w:t>
      </w:r>
      <w:r>
        <w:rPr>
          <w:spacing w:val="-6"/>
          <w:sz w:val="20"/>
        </w:rPr>
        <w:t xml:space="preserve"> </w:t>
      </w:r>
      <w:r>
        <w:rPr>
          <w:sz w:val="20"/>
        </w:rPr>
        <w:t>vizat],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toate</w:t>
      </w:r>
      <w:r>
        <w:rPr>
          <w:spacing w:val="-6"/>
          <w:sz w:val="20"/>
        </w:rPr>
        <w:t xml:space="preserve"> </w:t>
      </w:r>
      <w:r>
        <w:rPr>
          <w:sz w:val="20"/>
        </w:rPr>
        <w:t>drepturile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rezervate;</w:t>
      </w:r>
    </w:p>
    <w:p w14:paraId="694C612C" w14:textId="6138901F" w:rsidR="004942E4" w:rsidRDefault="00000000" w:rsidP="006C3952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[elementul</w:t>
      </w:r>
      <w:r>
        <w:rPr>
          <w:spacing w:val="-3"/>
          <w:sz w:val="20"/>
        </w:rPr>
        <w:t xml:space="preserve"> </w:t>
      </w:r>
      <w:r>
        <w:rPr>
          <w:sz w:val="20"/>
        </w:rPr>
        <w:t>vizat],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exemplu,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titular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unei</w:t>
      </w:r>
      <w:r>
        <w:rPr>
          <w:spacing w:val="-3"/>
          <w:sz w:val="20"/>
        </w:rPr>
        <w:t xml:space="preserve"> </w:t>
      </w:r>
      <w:r>
        <w:rPr>
          <w:sz w:val="20"/>
        </w:rPr>
        <w:t>licențe</w:t>
      </w:r>
      <w:r>
        <w:rPr>
          <w:spacing w:val="-3"/>
          <w:sz w:val="20"/>
        </w:rPr>
        <w:t xml:space="preserve"> </w:t>
      </w:r>
      <w:r w:rsidR="006C3952">
        <w:rPr>
          <w:sz w:val="20"/>
        </w:rPr>
        <w:t>CC BY</w:t>
      </w:r>
      <w:r w:rsidR="006C3952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>
        <w:rPr>
          <w:sz w:val="20"/>
        </w:rPr>
        <w:t>[linkul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către </w:t>
      </w:r>
      <w:r>
        <w:rPr>
          <w:spacing w:val="-2"/>
          <w:sz w:val="20"/>
        </w:rPr>
        <w:t>licență];</w:t>
      </w:r>
    </w:p>
    <w:p w14:paraId="3238CEAB" w14:textId="7D0799FB" w:rsidR="004942E4" w:rsidRDefault="00000000" w:rsidP="006C3952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[ilustrația/fotografia/etc.],</w:t>
      </w:r>
      <w:r w:rsidR="006C3952">
        <w:rPr>
          <w:spacing w:val="-11"/>
          <w:sz w:val="20"/>
        </w:rPr>
        <w:t xml:space="preserve"> p.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[numele</w:t>
      </w:r>
      <w:r>
        <w:rPr>
          <w:spacing w:val="-8"/>
          <w:sz w:val="20"/>
        </w:rPr>
        <w:t xml:space="preserve"> </w:t>
      </w:r>
      <w:r>
        <w:rPr>
          <w:sz w:val="20"/>
        </w:rPr>
        <w:t>artistului],</w:t>
      </w:r>
      <w:r>
        <w:rPr>
          <w:spacing w:val="-8"/>
          <w:sz w:val="20"/>
        </w:rPr>
        <w:t xml:space="preserve"> </w:t>
      </w:r>
      <w:r>
        <w:rPr>
          <w:sz w:val="20"/>
        </w:rPr>
        <w:t>[anul],</w:t>
      </w:r>
      <w:r>
        <w:rPr>
          <w:spacing w:val="-9"/>
          <w:sz w:val="20"/>
        </w:rPr>
        <w:t xml:space="preserve"> </w:t>
      </w:r>
      <w:r>
        <w:rPr>
          <w:sz w:val="20"/>
        </w:rPr>
        <w:t>toate</w:t>
      </w:r>
      <w:r>
        <w:rPr>
          <w:spacing w:val="-8"/>
          <w:sz w:val="20"/>
        </w:rPr>
        <w:t xml:space="preserve"> </w:t>
      </w:r>
      <w:r>
        <w:rPr>
          <w:sz w:val="20"/>
        </w:rPr>
        <w:t>drepturile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rezervate.</w:t>
      </w:r>
    </w:p>
    <w:p w14:paraId="485D4F5C" w14:textId="77777777" w:rsidR="004942E4" w:rsidRDefault="004942E4" w:rsidP="006C3952">
      <w:pPr>
        <w:pStyle w:val="BodyText"/>
        <w:spacing w:before="80"/>
        <w:ind w:left="0"/>
      </w:pPr>
    </w:p>
    <w:p w14:paraId="3EBA6313" w14:textId="77777777" w:rsidR="004942E4" w:rsidRDefault="00000000" w:rsidP="006C3952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F77A3E6" w14:textId="0337CA0D" w:rsidR="004942E4" w:rsidRDefault="00000000" w:rsidP="006C3952">
      <w:pPr>
        <w:pStyle w:val="BodyText"/>
        <w:spacing w:before="104" w:line="244" w:lineRule="auto"/>
      </w:pPr>
      <w:r>
        <w:t>Pentru</w:t>
      </w:r>
      <w:r>
        <w:rPr>
          <w:spacing w:val="-3"/>
        </w:rPr>
        <w:t xml:space="preserve"> </w:t>
      </w:r>
      <w:r>
        <w:t>orice</w:t>
      </w:r>
      <w:r>
        <w:rPr>
          <w:spacing w:val="-3"/>
        </w:rPr>
        <w:t xml:space="preserve"> </w:t>
      </w:r>
      <w:r>
        <w:t>utilizare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reproducere</w:t>
      </w:r>
      <w:r w:rsidR="006C3952">
        <w:rPr>
          <w:spacing w:val="-3"/>
        </w:rPr>
        <w:t xml:space="preserve"> a </w:t>
      </w:r>
      <w:r>
        <w:t>unor</w:t>
      </w:r>
      <w:r>
        <w:rPr>
          <w:spacing w:val="-3"/>
        </w:rPr>
        <w:t xml:space="preserve"> </w:t>
      </w:r>
      <w:r>
        <w:t>elemente</w:t>
      </w:r>
      <w:r>
        <w:rPr>
          <w:spacing w:val="-3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nu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deținute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Uniunea</w:t>
      </w:r>
      <w:r>
        <w:rPr>
          <w:spacing w:val="-3"/>
        </w:rPr>
        <w:t xml:space="preserve"> </w:t>
      </w:r>
      <w:r>
        <w:t>Europeană,</w:t>
      </w:r>
      <w:r>
        <w:rPr>
          <w:spacing w:val="-3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posibil</w:t>
      </w:r>
      <w:r>
        <w:rPr>
          <w:spacing w:val="-3"/>
        </w:rPr>
        <w:t xml:space="preserve"> </w:t>
      </w:r>
      <w:r>
        <w:t>să fie necesară solicitarea permisiunii direct de la titularii drepturilor respective.</w:t>
      </w:r>
    </w:p>
    <w:p w14:paraId="7BD779C8" w14:textId="77777777" w:rsidR="004942E4" w:rsidRDefault="004942E4" w:rsidP="006C3952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942E4" w14:paraId="5D89B723" w14:textId="77777777">
        <w:trPr>
          <w:trHeight w:val="257"/>
        </w:trPr>
        <w:tc>
          <w:tcPr>
            <w:tcW w:w="773" w:type="dxa"/>
          </w:tcPr>
          <w:p w14:paraId="1467D596" w14:textId="77777777" w:rsidR="004942E4" w:rsidRDefault="00000000" w:rsidP="006C395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E798C91" w14:textId="77777777" w:rsidR="004942E4" w:rsidRDefault="00000000" w:rsidP="006C395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81295E7" w14:textId="77777777" w:rsidR="004942E4" w:rsidRDefault="00000000" w:rsidP="006C395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C0DA93F" w14:textId="77777777" w:rsidR="004942E4" w:rsidRDefault="00000000" w:rsidP="006C395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227FB3" w14:textId="77777777" w:rsidR="004942E4" w:rsidRDefault="00000000" w:rsidP="006C395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942E4" w14:paraId="77A5483C" w14:textId="77777777">
        <w:trPr>
          <w:trHeight w:val="290"/>
        </w:trPr>
        <w:tc>
          <w:tcPr>
            <w:tcW w:w="773" w:type="dxa"/>
          </w:tcPr>
          <w:p w14:paraId="0743B401" w14:textId="77777777" w:rsidR="004942E4" w:rsidRDefault="00000000" w:rsidP="006C395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B5D3F43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50D052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E54B19A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22E5CA6" w14:textId="77777777" w:rsidR="004942E4" w:rsidRDefault="00000000" w:rsidP="006C395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942E4" w14:paraId="3079B552" w14:textId="77777777">
        <w:trPr>
          <w:trHeight w:val="290"/>
        </w:trPr>
        <w:tc>
          <w:tcPr>
            <w:tcW w:w="773" w:type="dxa"/>
          </w:tcPr>
          <w:p w14:paraId="1AD1106C" w14:textId="77777777" w:rsidR="004942E4" w:rsidRDefault="00000000" w:rsidP="006C395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16FC4FE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7E5223C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C5F2918" w14:textId="77777777" w:rsidR="004942E4" w:rsidRDefault="00000000" w:rsidP="006C395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9B85AA0" w14:textId="77777777" w:rsidR="004942E4" w:rsidRDefault="00000000" w:rsidP="006C395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942E4" w14:paraId="357D71E4" w14:textId="77777777">
        <w:trPr>
          <w:trHeight w:val="257"/>
        </w:trPr>
        <w:tc>
          <w:tcPr>
            <w:tcW w:w="773" w:type="dxa"/>
          </w:tcPr>
          <w:p w14:paraId="482DD4BE" w14:textId="77777777" w:rsidR="004942E4" w:rsidRDefault="00000000" w:rsidP="006C395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1476194" w14:textId="77777777" w:rsidR="004942E4" w:rsidRDefault="00000000" w:rsidP="006C3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773B77" w14:textId="77777777" w:rsidR="004942E4" w:rsidRDefault="00000000" w:rsidP="006C3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B310FC2" w14:textId="77777777" w:rsidR="004942E4" w:rsidRDefault="00000000" w:rsidP="006C3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43662EB" w14:textId="77777777" w:rsidR="004942E4" w:rsidRDefault="00000000" w:rsidP="006C395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8870B3A" w14:textId="77777777" w:rsidR="004942E4" w:rsidRDefault="004942E4" w:rsidP="006C3952">
      <w:pPr>
        <w:pStyle w:val="BodyText"/>
        <w:ind w:left="0"/>
      </w:pPr>
    </w:p>
    <w:p w14:paraId="5FC669EA" w14:textId="77777777" w:rsidR="004942E4" w:rsidRDefault="00000000" w:rsidP="006C3952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66915C48" wp14:editId="718E2DAA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D36E6" id="Graphic 7" o:spid="_x0000_s1026" style="position:absolute;margin-left:39.7pt;margin-top:18.85pt;width:146.85pt;height:.3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9DA188A" w14:textId="3F7DB089" w:rsidR="004942E4" w:rsidRDefault="00000000" w:rsidP="006C395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C395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4606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EEC3A81" w14:textId="29D2DF8B" w:rsidR="004942E4" w:rsidRDefault="00000000" w:rsidP="006C395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C395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C395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78D2E91" w14:textId="5E1055F1" w:rsidR="004942E4" w:rsidRDefault="00000000" w:rsidP="006C3952">
      <w:pPr>
        <w:spacing w:before="60" w:line="271" w:lineRule="auto"/>
        <w:ind w:left="745"/>
        <w:rPr>
          <w:sz w:val="18"/>
        </w:rPr>
      </w:pPr>
      <w:r>
        <w:rPr>
          <w:sz w:val="18"/>
        </w:rPr>
        <w:t>Reutilizarea textului este autorizată cu condiția menționării sursei și</w:t>
      </w:r>
      <w:r w:rsidR="006C3952">
        <w:rPr>
          <w:sz w:val="18"/>
        </w:rPr>
        <w:t xml:space="preserve"> a </w:t>
      </w:r>
      <w:r>
        <w:rPr>
          <w:sz w:val="18"/>
        </w:rPr>
        <w:t>păstrării nealterate</w:t>
      </w:r>
      <w:r w:rsidR="006C3952">
        <w:rPr>
          <w:sz w:val="18"/>
        </w:rPr>
        <w:t xml:space="preserve"> a </w:t>
      </w:r>
      <w:r>
        <w:rPr>
          <w:sz w:val="18"/>
        </w:rPr>
        <w:t>sensului sau</w:t>
      </w:r>
      <w:r w:rsidR="006C3952">
        <w:rPr>
          <w:sz w:val="18"/>
        </w:rPr>
        <w:t xml:space="preserve"> a </w:t>
      </w:r>
      <w:r>
        <w:rPr>
          <w:sz w:val="18"/>
        </w:rPr>
        <w:t>mesajului original al acestui document. Comisia Europeană nu este responsabilă pentru modul în care ar putea fi reutilizată prezenta</w:t>
      </w:r>
      <w:r>
        <w:rPr>
          <w:spacing w:val="-5"/>
          <w:sz w:val="18"/>
        </w:rPr>
        <w:t xml:space="preserve"> </w:t>
      </w:r>
      <w:r>
        <w:rPr>
          <w:sz w:val="18"/>
        </w:rPr>
        <w:t>publicație.</w:t>
      </w:r>
      <w:r>
        <w:rPr>
          <w:spacing w:val="-5"/>
          <w:sz w:val="18"/>
        </w:rPr>
        <w:t xml:space="preserve"> </w:t>
      </w:r>
      <w:r>
        <w:rPr>
          <w:sz w:val="18"/>
        </w:rPr>
        <w:t>Politica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reutilizare</w:t>
      </w:r>
      <w:r w:rsidR="006C3952">
        <w:rPr>
          <w:spacing w:val="-5"/>
          <w:sz w:val="18"/>
        </w:rPr>
        <w:t xml:space="preserve"> a </w:t>
      </w:r>
      <w:r>
        <w:rPr>
          <w:sz w:val="18"/>
        </w:rPr>
        <w:t>documentelor</w:t>
      </w:r>
      <w:r>
        <w:rPr>
          <w:spacing w:val="-5"/>
          <w:sz w:val="18"/>
        </w:rPr>
        <w:t xml:space="preserve"> </w:t>
      </w:r>
      <w:r>
        <w:rPr>
          <w:sz w:val="18"/>
        </w:rPr>
        <w:t>Comisiei</w:t>
      </w:r>
      <w:r>
        <w:rPr>
          <w:spacing w:val="-5"/>
          <w:sz w:val="18"/>
        </w:rPr>
        <w:t xml:space="preserve"> </w:t>
      </w:r>
      <w:r>
        <w:rPr>
          <w:sz w:val="18"/>
        </w:rPr>
        <w:t>Europene</w:t>
      </w:r>
      <w:r>
        <w:rPr>
          <w:spacing w:val="-5"/>
          <w:sz w:val="18"/>
        </w:rPr>
        <w:t xml:space="preserve"> </w:t>
      </w:r>
      <w:r>
        <w:rPr>
          <w:sz w:val="18"/>
        </w:rPr>
        <w:t>este</w:t>
      </w:r>
      <w:r>
        <w:rPr>
          <w:spacing w:val="-5"/>
          <w:sz w:val="18"/>
        </w:rPr>
        <w:t xml:space="preserve"> </w:t>
      </w:r>
      <w:r>
        <w:rPr>
          <w:sz w:val="18"/>
        </w:rPr>
        <w:t>reglementată</w:t>
      </w:r>
      <w:r>
        <w:rPr>
          <w:spacing w:val="-5"/>
          <w:sz w:val="18"/>
        </w:rPr>
        <w:t xml:space="preserve"> </w:t>
      </w:r>
      <w:r>
        <w:rPr>
          <w:sz w:val="18"/>
        </w:rPr>
        <w:t>prin</w:t>
      </w:r>
      <w:r>
        <w:rPr>
          <w:spacing w:val="-5"/>
          <w:sz w:val="18"/>
        </w:rPr>
        <w:t xml:space="preserve"> </w:t>
      </w:r>
      <w:r>
        <w:rPr>
          <w:sz w:val="18"/>
        </w:rPr>
        <w:t>Decizia</w:t>
      </w:r>
      <w:r>
        <w:rPr>
          <w:spacing w:val="-5"/>
          <w:sz w:val="18"/>
        </w:rPr>
        <w:t xml:space="preserve"> </w:t>
      </w:r>
      <w:r w:rsidR="00846061">
        <w:rPr>
          <w:sz w:val="18"/>
        </w:rPr>
        <w:t>2011/833/</w:t>
      </w:r>
      <w:r>
        <w:rPr>
          <w:sz w:val="18"/>
        </w:rPr>
        <w:t>UE</w:t>
      </w:r>
      <w:r w:rsidR="006C3952">
        <w:rPr>
          <w:sz w:val="18"/>
        </w:rPr>
        <w:t xml:space="preserve"> a </w:t>
      </w:r>
      <w:r>
        <w:rPr>
          <w:sz w:val="18"/>
        </w:rPr>
        <w:t>Comisiei din</w:t>
      </w:r>
      <w:r w:rsidR="006C3952">
        <w:rPr>
          <w:sz w:val="18"/>
        </w:rPr>
        <w:t xml:space="preserve"> 12 </w:t>
      </w:r>
      <w:r>
        <w:rPr>
          <w:sz w:val="18"/>
        </w:rPr>
        <w:t xml:space="preserve">decembrie 2011 privind reutilizarea documentelor Comisiei (JO </w:t>
      </w:r>
      <w:r w:rsidR="006C3952">
        <w:rPr>
          <w:sz w:val="18"/>
        </w:rPr>
        <w:t>L 330</w:t>
      </w:r>
      <w:r>
        <w:rPr>
          <w:sz w:val="18"/>
        </w:rPr>
        <w:t>, 14.12.2011,</w:t>
      </w:r>
      <w:r w:rsidR="006C3952">
        <w:rPr>
          <w:sz w:val="18"/>
        </w:rPr>
        <w:t xml:space="preserve"> p. </w:t>
      </w:r>
      <w:r>
        <w:rPr>
          <w:sz w:val="18"/>
        </w:rPr>
        <w:t xml:space="preserve">39, </w:t>
      </w:r>
      <w:r w:rsidR="006C3952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846061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2E406A5C" w14:textId="77777777" w:rsidR="004942E4" w:rsidRDefault="004942E4" w:rsidP="006C3952">
      <w:pPr>
        <w:spacing w:line="271" w:lineRule="auto"/>
        <w:rPr>
          <w:sz w:val="18"/>
        </w:rPr>
        <w:sectPr w:rsidR="004942E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83D24A9" w14:textId="77777777" w:rsidR="004942E4" w:rsidRDefault="00000000" w:rsidP="006C395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CB44E0B" w14:textId="77777777" w:rsidR="004942E4" w:rsidRDefault="00000000" w:rsidP="006C395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C22F682" w14:textId="77777777" w:rsidR="004942E4" w:rsidRDefault="00000000" w:rsidP="006C3952">
      <w:pPr>
        <w:pStyle w:val="BodyText"/>
        <w:spacing w:before="104"/>
      </w:pPr>
      <w:r>
        <w:t>Prețul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Luxemburg</w:t>
      </w:r>
      <w:r>
        <w:rPr>
          <w:spacing w:val="-6"/>
        </w:rPr>
        <w:t xml:space="preserve"> </w:t>
      </w:r>
      <w:r>
        <w:t>(fără</w:t>
      </w:r>
      <w:r>
        <w:rPr>
          <w:spacing w:val="-6"/>
        </w:rPr>
        <w:t xml:space="preserve"> </w:t>
      </w:r>
      <w:r>
        <w:t>TVA):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34578C07" w14:textId="77777777" w:rsidR="004942E4" w:rsidRDefault="004942E4" w:rsidP="006C3952">
      <w:pPr>
        <w:pStyle w:val="BodyText"/>
        <w:sectPr w:rsidR="004942E4">
          <w:pgSz w:w="11910" w:h="16840"/>
          <w:pgMar w:top="360" w:right="708" w:bottom="280" w:left="708" w:header="720" w:footer="720" w:gutter="0"/>
          <w:cols w:space="720"/>
        </w:sectPr>
      </w:pPr>
    </w:p>
    <w:p w14:paraId="1DA3C83B" w14:textId="77777777" w:rsidR="004942E4" w:rsidRDefault="00000000" w:rsidP="006C3952">
      <w:pPr>
        <w:pStyle w:val="Heading1"/>
        <w:spacing w:before="80"/>
      </w:pPr>
      <w:r>
        <w:lastRenderedPageBreak/>
        <w:t>Contactați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2F453130" w14:textId="77777777" w:rsidR="004942E4" w:rsidRDefault="00000000" w:rsidP="006C3952">
      <w:pPr>
        <w:pStyle w:val="Heading2"/>
        <w:spacing w:before="154"/>
      </w:pPr>
      <w:r>
        <w:t>În</w:t>
      </w:r>
      <w:r>
        <w:rPr>
          <w:spacing w:val="-2"/>
        </w:rPr>
        <w:t xml:space="preserve"> persoană</w:t>
      </w:r>
    </w:p>
    <w:p w14:paraId="0C7CC94B" w14:textId="77777777" w:rsidR="004942E4" w:rsidRDefault="00000000" w:rsidP="006C3952">
      <w:pPr>
        <w:spacing w:before="167" w:line="280" w:lineRule="auto"/>
        <w:ind w:left="85"/>
      </w:pPr>
      <w:r>
        <w:t>În</w:t>
      </w:r>
      <w:r>
        <w:rPr>
          <w:spacing w:val="-3"/>
        </w:rPr>
        <w:t xml:space="preserve"> </w:t>
      </w:r>
      <w:r>
        <w:t>întreaga</w:t>
      </w:r>
      <w:r>
        <w:rPr>
          <w:spacing w:val="-3"/>
        </w:rPr>
        <w:t xml:space="preserve"> </w:t>
      </w:r>
      <w:r>
        <w:t>Uniune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există</w:t>
      </w:r>
      <w:r>
        <w:rPr>
          <w:spacing w:val="-3"/>
        </w:rPr>
        <w:t xml:space="preserve"> </w:t>
      </w:r>
      <w:r>
        <w:t>sute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Puteți</w:t>
      </w:r>
      <w:r>
        <w:rPr>
          <w:spacing w:val="-3"/>
        </w:rPr>
        <w:t xml:space="preserve"> </w:t>
      </w:r>
      <w:r>
        <w:t>găsi</w:t>
      </w:r>
      <w:r>
        <w:rPr>
          <w:spacing w:val="-3"/>
        </w:rPr>
        <w:t xml:space="preserve"> </w:t>
      </w:r>
      <w:r>
        <w:t>adresa</w:t>
      </w:r>
      <w:r>
        <w:rPr>
          <w:spacing w:val="-3"/>
        </w:rPr>
        <w:t xml:space="preserve"> </w:t>
      </w:r>
      <w:r>
        <w:t>centrului</w:t>
      </w:r>
      <w:r>
        <w:rPr>
          <w:spacing w:val="-3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mai apropiat de dumneavoastră online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2A430755" w14:textId="77777777" w:rsidR="004942E4" w:rsidRDefault="00000000" w:rsidP="006C3952">
      <w:pPr>
        <w:pStyle w:val="Heading2"/>
        <w:spacing w:before="102"/>
      </w:pPr>
      <w:r>
        <w:t>La</w:t>
      </w:r>
      <w:r>
        <w:rPr>
          <w:spacing w:val="-4"/>
        </w:rPr>
        <w:t xml:space="preserve"> </w:t>
      </w:r>
      <w:r>
        <w:t>telefon</w:t>
      </w:r>
      <w:r>
        <w:rPr>
          <w:spacing w:val="-3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2"/>
        </w:rPr>
        <w:t>scris</w:t>
      </w:r>
    </w:p>
    <w:p w14:paraId="687D0D7C" w14:textId="77777777" w:rsidR="004942E4" w:rsidRDefault="00000000" w:rsidP="006C3952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serviciu</w:t>
      </w:r>
      <w:r>
        <w:rPr>
          <w:spacing w:val="-4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vă</w:t>
      </w:r>
      <w:r>
        <w:rPr>
          <w:spacing w:val="-4"/>
        </w:rPr>
        <w:t xml:space="preserve"> </w:t>
      </w:r>
      <w:r>
        <w:t>răspunde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întrebările</w:t>
      </w:r>
      <w:r>
        <w:rPr>
          <w:spacing w:val="-4"/>
        </w:rPr>
        <w:t xml:space="preserve"> </w:t>
      </w:r>
      <w:r>
        <w:t>privind</w:t>
      </w:r>
      <w:r>
        <w:rPr>
          <w:spacing w:val="-4"/>
        </w:rPr>
        <w:t xml:space="preserve"> </w:t>
      </w:r>
      <w:r>
        <w:t>Uniunea</w:t>
      </w:r>
      <w:r>
        <w:rPr>
          <w:spacing w:val="-4"/>
        </w:rPr>
        <w:t xml:space="preserve"> </w:t>
      </w:r>
      <w:r>
        <w:t>Europeană.</w:t>
      </w:r>
      <w:r>
        <w:rPr>
          <w:spacing w:val="-4"/>
        </w:rPr>
        <w:t xml:space="preserve"> </w:t>
      </w:r>
      <w:r>
        <w:t>Puteți</w:t>
      </w:r>
      <w:r>
        <w:rPr>
          <w:spacing w:val="-4"/>
        </w:rPr>
        <w:t xml:space="preserve"> </w:t>
      </w:r>
      <w:r>
        <w:t>accesa acest serviciu:</w:t>
      </w:r>
    </w:p>
    <w:p w14:paraId="207B4470" w14:textId="40D3D2AF" w:rsidR="004942E4" w:rsidRDefault="00000000" w:rsidP="006C3952">
      <w:pPr>
        <w:pStyle w:val="ListParagraph"/>
        <w:numPr>
          <w:ilvl w:val="0"/>
          <w:numId w:val="1"/>
        </w:numPr>
        <w:tabs>
          <w:tab w:val="left" w:pos="474"/>
        </w:tabs>
        <w:spacing w:before="113"/>
        <w:ind w:left="474" w:hanging="399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4"/>
        </w:rPr>
        <w:t xml:space="preserve"> </w:t>
      </w:r>
      <w:r>
        <w:t>gratuit:</w:t>
      </w:r>
      <w:r>
        <w:rPr>
          <w:spacing w:val="-4"/>
        </w:rPr>
        <w:t xml:space="preserve"> </w:t>
      </w:r>
      <w:r w:rsidR="006C3952">
        <w:t>00 800 6 7 8 9 10 11</w:t>
      </w:r>
      <w:r>
        <w:rPr>
          <w:spacing w:val="-4"/>
        </w:rPr>
        <w:t xml:space="preserve"> </w:t>
      </w:r>
      <w:r>
        <w:t>(unii</w:t>
      </w:r>
      <w:r>
        <w:rPr>
          <w:spacing w:val="-4"/>
        </w:rPr>
        <w:t xml:space="preserve"> </w:t>
      </w:r>
      <w:r>
        <w:t>operatori</w:t>
      </w:r>
      <w:r>
        <w:rPr>
          <w:spacing w:val="-5"/>
        </w:rPr>
        <w:t xml:space="preserve"> </w:t>
      </w:r>
      <w:r>
        <w:t>pot</w:t>
      </w:r>
      <w:r>
        <w:rPr>
          <w:spacing w:val="-4"/>
        </w:rPr>
        <w:t xml:space="preserve"> </w:t>
      </w:r>
      <w:r>
        <w:t>taxa</w:t>
      </w:r>
      <w:r>
        <w:rPr>
          <w:spacing w:val="-4"/>
        </w:rPr>
        <w:t xml:space="preserve"> </w:t>
      </w:r>
      <w:r>
        <w:t>aceste</w:t>
      </w:r>
      <w:r>
        <w:rPr>
          <w:spacing w:val="-4"/>
        </w:rPr>
        <w:t xml:space="preserve"> </w:t>
      </w:r>
      <w:r>
        <w:rPr>
          <w:spacing w:val="-2"/>
        </w:rPr>
        <w:t>apeluri);</w:t>
      </w:r>
    </w:p>
    <w:p w14:paraId="33FD2FDD" w14:textId="39D11052" w:rsidR="004942E4" w:rsidRDefault="00000000" w:rsidP="006C395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6"/>
        </w:rPr>
        <w:t xml:space="preserve"> </w:t>
      </w:r>
      <w:r>
        <w:t>standard:</w:t>
      </w:r>
      <w:r>
        <w:rPr>
          <w:spacing w:val="-7"/>
        </w:rPr>
        <w:t xml:space="preserve"> </w:t>
      </w:r>
      <w:r w:rsidR="006C3952">
        <w:t>+32 22999696</w:t>
      </w:r>
      <w:r>
        <w:rPr>
          <w:spacing w:val="-2"/>
        </w:rPr>
        <w:t>;</w:t>
      </w:r>
    </w:p>
    <w:p w14:paraId="13220D73" w14:textId="77777777" w:rsidR="004942E4" w:rsidRDefault="00000000" w:rsidP="006C3952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folosind</w:t>
      </w:r>
      <w:r>
        <w:rPr>
          <w:spacing w:val="31"/>
        </w:rPr>
        <w:t xml:space="preserve"> </w:t>
      </w:r>
      <w:r>
        <w:rPr>
          <w:spacing w:val="-2"/>
        </w:rPr>
        <w:t>formularul:</w:t>
      </w:r>
      <w:r>
        <w:rPr>
          <w:spacing w:val="34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eu/write-us_ro</w:t>
        </w:r>
      </w:hyperlink>
      <w:r>
        <w:rPr>
          <w:spacing w:val="-2"/>
        </w:rPr>
        <w:t>.</w:t>
      </w:r>
    </w:p>
    <w:p w14:paraId="1C6AB84A" w14:textId="77777777" w:rsidR="004942E4" w:rsidRDefault="004942E4" w:rsidP="006C3952">
      <w:pPr>
        <w:pStyle w:val="BodyText"/>
        <w:spacing w:before="182"/>
        <w:ind w:left="0"/>
        <w:rPr>
          <w:sz w:val="22"/>
        </w:rPr>
      </w:pPr>
    </w:p>
    <w:p w14:paraId="452CBB9C" w14:textId="77777777" w:rsidR="004942E4" w:rsidRDefault="00000000" w:rsidP="006C3952">
      <w:pPr>
        <w:pStyle w:val="Heading1"/>
      </w:pPr>
      <w:r>
        <w:t>Găsiți</w:t>
      </w:r>
      <w:r>
        <w:rPr>
          <w:spacing w:val="-8"/>
        </w:rPr>
        <w:t xml:space="preserve"> </w:t>
      </w:r>
      <w:r>
        <w:t>informații</w:t>
      </w:r>
      <w:r>
        <w:rPr>
          <w:spacing w:val="-7"/>
        </w:rPr>
        <w:t xml:space="preserve"> </w:t>
      </w:r>
      <w:r>
        <w:t>despre</w:t>
      </w:r>
      <w:r>
        <w:rPr>
          <w:spacing w:val="-7"/>
        </w:rPr>
        <w:t xml:space="preserve"> </w:t>
      </w:r>
      <w:r>
        <w:rPr>
          <w:spacing w:val="-5"/>
        </w:rPr>
        <w:t>UE</w:t>
      </w:r>
    </w:p>
    <w:p w14:paraId="60262982" w14:textId="77777777" w:rsidR="004942E4" w:rsidRDefault="00000000" w:rsidP="006C3952">
      <w:pPr>
        <w:pStyle w:val="Heading2"/>
        <w:spacing w:before="155"/>
      </w:pPr>
      <w:r>
        <w:rPr>
          <w:spacing w:val="-2"/>
        </w:rPr>
        <w:t>Online</w:t>
      </w:r>
    </w:p>
    <w:p w14:paraId="33135843" w14:textId="77777777" w:rsidR="004942E4" w:rsidRDefault="00000000" w:rsidP="006C3952">
      <w:pPr>
        <w:spacing w:before="166" w:line="290" w:lineRule="auto"/>
        <w:ind w:left="85"/>
      </w:pPr>
      <w:r>
        <w:t>Informații</w:t>
      </w:r>
      <w:r>
        <w:rPr>
          <w:spacing w:val="-5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Uniunea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</w:t>
      </w:r>
      <w:r>
        <w:rPr>
          <w:spacing w:val="-3"/>
        </w:rPr>
        <w:t xml:space="preserve"> </w:t>
      </w:r>
      <w:r>
        <w:t>limbile</w:t>
      </w:r>
      <w:r>
        <w:rPr>
          <w:spacing w:val="-3"/>
        </w:rPr>
        <w:t xml:space="preserve"> </w:t>
      </w:r>
      <w:r>
        <w:t>oficiale</w:t>
      </w:r>
      <w:r>
        <w:rPr>
          <w:spacing w:val="-3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disponibile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site-ul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82DDBBC" w14:textId="77777777" w:rsidR="004942E4" w:rsidRDefault="00000000" w:rsidP="006C3952">
      <w:pPr>
        <w:pStyle w:val="Heading2"/>
        <w:spacing w:before="113"/>
      </w:pPr>
      <w:r>
        <w:t>Publicații</w:t>
      </w:r>
      <w:r>
        <w:rPr>
          <w:spacing w:val="-7"/>
        </w:rPr>
        <w:t xml:space="preserve"> </w:t>
      </w:r>
      <w:r>
        <w:t>ale</w:t>
      </w:r>
      <w:r>
        <w:rPr>
          <w:spacing w:val="-6"/>
        </w:rPr>
        <w:t xml:space="preserve"> </w:t>
      </w:r>
      <w:r>
        <w:rPr>
          <w:spacing w:val="-5"/>
        </w:rPr>
        <w:t>UE</w:t>
      </w:r>
    </w:p>
    <w:p w14:paraId="62536328" w14:textId="77777777" w:rsidR="004942E4" w:rsidRDefault="00000000" w:rsidP="006C3952">
      <w:pPr>
        <w:spacing w:before="167" w:line="285" w:lineRule="auto"/>
        <w:ind w:left="85"/>
      </w:pPr>
      <w:r>
        <w:t>Puteți</w:t>
      </w:r>
      <w:r>
        <w:rPr>
          <w:spacing w:val="-4"/>
        </w:rPr>
        <w:t xml:space="preserve"> </w:t>
      </w:r>
      <w:r>
        <w:t>vizualiza</w:t>
      </w:r>
      <w:r>
        <w:rPr>
          <w:spacing w:val="-4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comanda</w:t>
      </w:r>
      <w:r>
        <w:rPr>
          <w:spacing w:val="-4"/>
        </w:rPr>
        <w:t xml:space="preserve"> </w:t>
      </w:r>
      <w:r>
        <w:t>publicații</w:t>
      </w:r>
      <w:r>
        <w:rPr>
          <w:spacing w:val="-4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hyperlink r:id="rId19">
        <w:r>
          <w:rPr>
            <w:color w:val="0000FF"/>
            <w:u w:val="single" w:color="0000FF"/>
          </w:rPr>
          <w:t>op.europa.eu/ro/publications</w:t>
        </w:r>
      </w:hyperlink>
      <w:r>
        <w:t>.</w:t>
      </w:r>
      <w:r>
        <w:rPr>
          <w:spacing w:val="-4"/>
        </w:rPr>
        <w:t xml:space="preserve"> </w:t>
      </w:r>
      <w:r>
        <w:t>Mai</w:t>
      </w:r>
      <w:r>
        <w:rPr>
          <w:spacing w:val="-4"/>
        </w:rPr>
        <w:t xml:space="preserve"> </w:t>
      </w:r>
      <w:r>
        <w:t>multe</w:t>
      </w:r>
      <w:r>
        <w:rPr>
          <w:spacing w:val="-4"/>
        </w:rPr>
        <w:t xml:space="preserve"> </w:t>
      </w:r>
      <w:r>
        <w:t>exemplare ale</w:t>
      </w:r>
      <w:r>
        <w:rPr>
          <w:spacing w:val="-3"/>
        </w:rPr>
        <w:t xml:space="preserve"> </w:t>
      </w:r>
      <w:r>
        <w:t>publicațiilor</w:t>
      </w:r>
      <w:r>
        <w:rPr>
          <w:spacing w:val="-3"/>
        </w:rPr>
        <w:t xml:space="preserve"> </w:t>
      </w:r>
      <w:r>
        <w:t>gratuite</w:t>
      </w:r>
      <w:r>
        <w:rPr>
          <w:spacing w:val="-3"/>
        </w:rPr>
        <w:t xml:space="preserve"> </w:t>
      </w:r>
      <w:r>
        <w:t>pot</w:t>
      </w:r>
      <w:r>
        <w:rPr>
          <w:spacing w:val="-3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obținute</w:t>
      </w:r>
      <w:r>
        <w:rPr>
          <w:spacing w:val="-3"/>
        </w:rPr>
        <w:t xml:space="preserve"> </w:t>
      </w:r>
      <w:r>
        <w:t>contactând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centrul</w:t>
      </w:r>
      <w:r>
        <w:rPr>
          <w:spacing w:val="-3"/>
        </w:rPr>
        <w:t xml:space="preserve"> </w:t>
      </w:r>
      <w:r>
        <w:t>dumneavoastră</w:t>
      </w:r>
      <w:r>
        <w:rPr>
          <w:spacing w:val="-3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de documentare (</w:t>
      </w:r>
      <w:hyperlink r:id="rId20">
        <w:r>
          <w:rPr>
            <w:color w:val="0000FF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340FE7A6" w14:textId="77777777" w:rsidR="004942E4" w:rsidRDefault="00000000" w:rsidP="006C3952">
      <w:pPr>
        <w:pStyle w:val="Heading2"/>
      </w:pPr>
      <w:r>
        <w:t>Dreptul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>documente</w:t>
      </w:r>
      <w:r>
        <w:rPr>
          <w:spacing w:val="-5"/>
        </w:rPr>
        <w:t xml:space="preserve"> </w:t>
      </w:r>
      <w:r>
        <w:rPr>
          <w:spacing w:val="-2"/>
        </w:rPr>
        <w:t>conexe</w:t>
      </w:r>
    </w:p>
    <w:p w14:paraId="61369748" w14:textId="77777777" w:rsidR="004942E4" w:rsidRDefault="00000000" w:rsidP="006C3952">
      <w:pPr>
        <w:spacing w:before="166" w:line="290" w:lineRule="auto"/>
        <w:ind w:left="85"/>
      </w:pPr>
      <w:r>
        <w:t>Pentru</w:t>
      </w:r>
      <w:r>
        <w:rPr>
          <w:spacing w:val="-3"/>
        </w:rPr>
        <w:t xml:space="preserve"> </w:t>
      </w:r>
      <w:r>
        <w:t>accesul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informații</w:t>
      </w:r>
      <w:r>
        <w:rPr>
          <w:spacing w:val="-3"/>
        </w:rPr>
        <w:t xml:space="preserve"> </w:t>
      </w:r>
      <w:r>
        <w:t>juridice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UE,</w:t>
      </w:r>
      <w:r>
        <w:rPr>
          <w:spacing w:val="-3"/>
        </w:rPr>
        <w:t xml:space="preserve"> </w:t>
      </w:r>
      <w:r>
        <w:t>inclusiv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ansamblul</w:t>
      </w:r>
      <w:r>
        <w:rPr>
          <w:spacing w:val="-3"/>
        </w:rPr>
        <w:t xml:space="preserve"> </w:t>
      </w:r>
      <w:r>
        <w:t>legislației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începând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 versiunile lingvistice oficiale, accesați site-ul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656860B" w14:textId="77777777" w:rsidR="004942E4" w:rsidRDefault="00000000" w:rsidP="006C3952">
      <w:pPr>
        <w:pStyle w:val="Heading2"/>
        <w:spacing w:before="114"/>
      </w:pP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UE</w:t>
      </w:r>
    </w:p>
    <w:p w14:paraId="649C67CF" w14:textId="5A0DDC8E" w:rsidR="004942E4" w:rsidRDefault="00000000" w:rsidP="006C3952">
      <w:pPr>
        <w:spacing w:before="167" w:line="290" w:lineRule="auto"/>
        <w:ind w:left="85"/>
      </w:pPr>
      <w:r>
        <w:t>Portalul</w:t>
      </w:r>
      <w:r>
        <w:rPr>
          <w:spacing w:val="-5"/>
        </w:rPr>
        <w:t xml:space="preserve">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846061">
        <w:rPr>
          <w:color w:val="0000FF"/>
          <w:spacing w:val="-5"/>
          <w:u w:val="single"/>
        </w:rPr>
        <w:t xml:space="preserve"> </w:t>
      </w:r>
      <w:r>
        <w:t>oferă</w:t>
      </w:r>
      <w:r>
        <w:rPr>
          <w:spacing w:val="-5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seturile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</w:t>
      </w:r>
      <w:r>
        <w:t>instituțiilor,</w:t>
      </w:r>
      <w:r>
        <w:rPr>
          <w:spacing w:val="-5"/>
        </w:rPr>
        <w:t xml:space="preserve"> </w:t>
      </w:r>
      <w:r>
        <w:t>organismelor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 xml:space="preserve">agențiilor UE. Aceste date pot fi descărcate și reutilizate gratuit, atât în scopuri comerciale, cât și </w:t>
      </w:r>
      <w:r w:rsidR="006C3952">
        <w:t xml:space="preserve">necomerciale. </w:t>
      </w:r>
      <w:r>
        <w:t>Portalul</w:t>
      </w:r>
      <w:r>
        <w:rPr>
          <w:spacing w:val="-7"/>
        </w:rPr>
        <w:t xml:space="preserve"> </w:t>
      </w:r>
      <w:r>
        <w:t>oferă,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asemenea,</w:t>
      </w:r>
      <w:r>
        <w:rPr>
          <w:spacing w:val="-4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 w:rsidR="006C3952">
        <w:rPr>
          <w:spacing w:val="-4"/>
        </w:rPr>
        <w:t xml:space="preserve"> o </w:t>
      </w:r>
      <w:r>
        <w:t>multitudine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seturi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țările</w:t>
      </w:r>
      <w:r>
        <w:rPr>
          <w:spacing w:val="-4"/>
        </w:rPr>
        <w:t xml:space="preserve"> </w:t>
      </w:r>
      <w:r>
        <w:rPr>
          <w:spacing w:val="-2"/>
        </w:rPr>
        <w:t>europene.</w:t>
      </w:r>
    </w:p>
    <w:sectPr w:rsidR="004942E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852B0"/>
    <w:multiLevelType w:val="hybridMultilevel"/>
    <w:tmpl w:val="C50273D0"/>
    <w:lvl w:ilvl="0" w:tplc="6890F02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E96D196">
      <w:numFmt w:val="bullet"/>
      <w:lvlText w:val="•"/>
      <w:lvlJc w:val="left"/>
      <w:pPr>
        <w:ind w:left="1481" w:hanging="400"/>
      </w:pPr>
      <w:rPr>
        <w:rFonts w:hint="default"/>
        <w:lang w:val="ro-RO" w:eastAsia="en-US" w:bidi="ar-SA"/>
      </w:rPr>
    </w:lvl>
    <w:lvl w:ilvl="2" w:tplc="0212D732">
      <w:numFmt w:val="bullet"/>
      <w:lvlText w:val="•"/>
      <w:lvlJc w:val="left"/>
      <w:pPr>
        <w:ind w:left="2482" w:hanging="400"/>
      </w:pPr>
      <w:rPr>
        <w:rFonts w:hint="default"/>
        <w:lang w:val="ro-RO" w:eastAsia="en-US" w:bidi="ar-SA"/>
      </w:rPr>
    </w:lvl>
    <w:lvl w:ilvl="3" w:tplc="1E448B56">
      <w:numFmt w:val="bullet"/>
      <w:lvlText w:val="•"/>
      <w:lvlJc w:val="left"/>
      <w:pPr>
        <w:ind w:left="3483" w:hanging="400"/>
      </w:pPr>
      <w:rPr>
        <w:rFonts w:hint="default"/>
        <w:lang w:val="ro-RO" w:eastAsia="en-US" w:bidi="ar-SA"/>
      </w:rPr>
    </w:lvl>
    <w:lvl w:ilvl="4" w:tplc="00CCF9CE">
      <w:numFmt w:val="bullet"/>
      <w:lvlText w:val="•"/>
      <w:lvlJc w:val="left"/>
      <w:pPr>
        <w:ind w:left="4485" w:hanging="400"/>
      </w:pPr>
      <w:rPr>
        <w:rFonts w:hint="default"/>
        <w:lang w:val="ro-RO" w:eastAsia="en-US" w:bidi="ar-SA"/>
      </w:rPr>
    </w:lvl>
    <w:lvl w:ilvl="5" w:tplc="152817D2">
      <w:numFmt w:val="bullet"/>
      <w:lvlText w:val="•"/>
      <w:lvlJc w:val="left"/>
      <w:pPr>
        <w:ind w:left="5486" w:hanging="400"/>
      </w:pPr>
      <w:rPr>
        <w:rFonts w:hint="default"/>
        <w:lang w:val="ro-RO" w:eastAsia="en-US" w:bidi="ar-SA"/>
      </w:rPr>
    </w:lvl>
    <w:lvl w:ilvl="6" w:tplc="3502FD4E">
      <w:numFmt w:val="bullet"/>
      <w:lvlText w:val="•"/>
      <w:lvlJc w:val="left"/>
      <w:pPr>
        <w:ind w:left="6487" w:hanging="400"/>
      </w:pPr>
      <w:rPr>
        <w:rFonts w:hint="default"/>
        <w:lang w:val="ro-RO" w:eastAsia="en-US" w:bidi="ar-SA"/>
      </w:rPr>
    </w:lvl>
    <w:lvl w:ilvl="7" w:tplc="3FAC0162">
      <w:numFmt w:val="bullet"/>
      <w:lvlText w:val="•"/>
      <w:lvlJc w:val="left"/>
      <w:pPr>
        <w:ind w:left="7488" w:hanging="400"/>
      </w:pPr>
      <w:rPr>
        <w:rFonts w:hint="default"/>
        <w:lang w:val="ro-RO" w:eastAsia="en-US" w:bidi="ar-SA"/>
      </w:rPr>
    </w:lvl>
    <w:lvl w:ilvl="8" w:tplc="5BFAD9BA">
      <w:numFmt w:val="bullet"/>
      <w:lvlText w:val="•"/>
      <w:lvlJc w:val="left"/>
      <w:pPr>
        <w:ind w:left="8490" w:hanging="400"/>
      </w:pPr>
      <w:rPr>
        <w:rFonts w:hint="default"/>
        <w:lang w:val="ro-RO" w:eastAsia="en-US" w:bidi="ar-SA"/>
      </w:rPr>
    </w:lvl>
  </w:abstractNum>
  <w:abstractNum w:abstractNumId="1" w15:restartNumberingAfterBreak="0">
    <w:nsid w:val="38013EA1"/>
    <w:multiLevelType w:val="hybridMultilevel"/>
    <w:tmpl w:val="C7466010"/>
    <w:lvl w:ilvl="0" w:tplc="A876293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 w:tplc="201C125E">
      <w:numFmt w:val="bullet"/>
      <w:lvlText w:val="•"/>
      <w:lvlJc w:val="left"/>
      <w:pPr>
        <w:ind w:left="1391" w:hanging="300"/>
      </w:pPr>
      <w:rPr>
        <w:rFonts w:hint="default"/>
        <w:lang w:val="ro-RO" w:eastAsia="en-US" w:bidi="ar-SA"/>
      </w:rPr>
    </w:lvl>
    <w:lvl w:ilvl="2" w:tplc="02DE648E">
      <w:numFmt w:val="bullet"/>
      <w:lvlText w:val="•"/>
      <w:lvlJc w:val="left"/>
      <w:pPr>
        <w:ind w:left="2402" w:hanging="300"/>
      </w:pPr>
      <w:rPr>
        <w:rFonts w:hint="default"/>
        <w:lang w:val="ro-RO" w:eastAsia="en-US" w:bidi="ar-SA"/>
      </w:rPr>
    </w:lvl>
    <w:lvl w:ilvl="3" w:tplc="1EA610D4">
      <w:numFmt w:val="bullet"/>
      <w:lvlText w:val="•"/>
      <w:lvlJc w:val="left"/>
      <w:pPr>
        <w:ind w:left="3413" w:hanging="300"/>
      </w:pPr>
      <w:rPr>
        <w:rFonts w:hint="default"/>
        <w:lang w:val="ro-RO" w:eastAsia="en-US" w:bidi="ar-SA"/>
      </w:rPr>
    </w:lvl>
    <w:lvl w:ilvl="4" w:tplc="07FEE8B4">
      <w:numFmt w:val="bullet"/>
      <w:lvlText w:val="•"/>
      <w:lvlJc w:val="left"/>
      <w:pPr>
        <w:ind w:left="4425" w:hanging="300"/>
      </w:pPr>
      <w:rPr>
        <w:rFonts w:hint="default"/>
        <w:lang w:val="ro-RO" w:eastAsia="en-US" w:bidi="ar-SA"/>
      </w:rPr>
    </w:lvl>
    <w:lvl w:ilvl="5" w:tplc="DCC060B6">
      <w:numFmt w:val="bullet"/>
      <w:lvlText w:val="•"/>
      <w:lvlJc w:val="left"/>
      <w:pPr>
        <w:ind w:left="5436" w:hanging="300"/>
      </w:pPr>
      <w:rPr>
        <w:rFonts w:hint="default"/>
        <w:lang w:val="ro-RO" w:eastAsia="en-US" w:bidi="ar-SA"/>
      </w:rPr>
    </w:lvl>
    <w:lvl w:ilvl="6" w:tplc="92682256">
      <w:numFmt w:val="bullet"/>
      <w:lvlText w:val="•"/>
      <w:lvlJc w:val="left"/>
      <w:pPr>
        <w:ind w:left="6447" w:hanging="300"/>
      </w:pPr>
      <w:rPr>
        <w:rFonts w:hint="default"/>
        <w:lang w:val="ro-RO" w:eastAsia="en-US" w:bidi="ar-SA"/>
      </w:rPr>
    </w:lvl>
    <w:lvl w:ilvl="7" w:tplc="A4665014">
      <w:numFmt w:val="bullet"/>
      <w:lvlText w:val="•"/>
      <w:lvlJc w:val="left"/>
      <w:pPr>
        <w:ind w:left="7458" w:hanging="300"/>
      </w:pPr>
      <w:rPr>
        <w:rFonts w:hint="default"/>
        <w:lang w:val="ro-RO" w:eastAsia="en-US" w:bidi="ar-SA"/>
      </w:rPr>
    </w:lvl>
    <w:lvl w:ilvl="8" w:tplc="7C6EF2D0">
      <w:numFmt w:val="bullet"/>
      <w:lvlText w:val="•"/>
      <w:lvlJc w:val="left"/>
      <w:pPr>
        <w:ind w:left="8470" w:hanging="300"/>
      </w:pPr>
      <w:rPr>
        <w:rFonts w:hint="default"/>
        <w:lang w:val="ro-RO" w:eastAsia="en-US" w:bidi="ar-SA"/>
      </w:rPr>
    </w:lvl>
  </w:abstractNum>
  <w:abstractNum w:abstractNumId="2" w15:restartNumberingAfterBreak="0">
    <w:nsid w:val="73CA5AB3"/>
    <w:multiLevelType w:val="hybridMultilevel"/>
    <w:tmpl w:val="9EC6A99E"/>
    <w:lvl w:ilvl="0" w:tplc="9FD2C70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E004ADD2"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 w:tplc="F3324A02"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 w:tplc="7E4EEE4A"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 w:tplc="42622926"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 w:tplc="125C9A48"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 w:tplc="3FEEF204"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 w:tplc="20EC4880"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 w:tplc="D00612F8"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1" w16cid:durableId="582108975">
    <w:abstractNumId w:val="0"/>
  </w:num>
  <w:num w:numId="2" w16cid:durableId="697658110">
    <w:abstractNumId w:val="1"/>
  </w:num>
  <w:num w:numId="3" w16cid:durableId="134882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42E4"/>
    <w:rsid w:val="00347A34"/>
    <w:rsid w:val="004942E4"/>
    <w:rsid w:val="006C3952"/>
    <w:rsid w:val="0084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09153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" TargetMode="External"/><Relationship Id="rId13" Type="http://schemas.openxmlformats.org/officeDocument/2006/relationships/hyperlink" Target="https://european-union.europa.eu/contact-eu/meet-us_ro" TargetMode="External"/><Relationship Id="rId18" Type="http://schemas.openxmlformats.org/officeDocument/2006/relationships/hyperlink" Target="https://european-union.europa.eu/index_r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ro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ro" TargetMode="External"/><Relationship Id="rId17" Type="http://schemas.openxmlformats.org/officeDocument/2006/relationships/hyperlink" Target="https://european-union.europa.eu/contact-eu/write-us_r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ro" TargetMode="External"/><Relationship Id="rId20" Type="http://schemas.openxmlformats.org/officeDocument/2006/relationships/hyperlink" Target="https://european-union.europa.eu/contact-eu/meet-us_r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ro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ro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ro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ro" TargetMode="External"/><Relationship Id="rId22" Type="http://schemas.openxmlformats.org/officeDocument/2006/relationships/hyperlink" Target="https://european-union.europa.eu/contact-eu/meet-us_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920</Words>
  <Characters>5598</Characters>
  <Application>Microsoft Office Word</Application>
  <DocSecurity>0</DocSecurity>
  <Lines>193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– European Commission – RO</vt:lpstr>
    </vt:vector>
  </TitlesOfParts>
  <Company>European Commission 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RO</dc:title>
  <cp:lastModifiedBy>THYLANDER Kate (OP)</cp:lastModifiedBy>
  <cp:revision>2</cp:revision>
  <dcterms:created xsi:type="dcterms:W3CDTF">2025-08-08T10:50:00Z</dcterms:created>
  <dcterms:modified xsi:type="dcterms:W3CDTF">2025-08-08T11:28:00Z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2025-08-08T11:28:29Z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bfa816fd-636e-4651-a849-b3cbe81eb7cb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